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F41B1" w14:textId="72B56F10"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17586">
        <w:rPr>
          <w:rFonts w:ascii="Arial" w:eastAsia="MS Mincho" w:hAnsi="Arial"/>
          <w:b/>
          <w:sz w:val="24"/>
          <w:szCs w:val="24"/>
          <w:lang w:val="en-GB" w:eastAsia="x-none"/>
        </w:rPr>
        <w:t>-RAN WG2 Meeting #10</w:t>
      </w:r>
      <w:r w:rsidR="006A73F6">
        <w:rPr>
          <w:rFonts w:ascii="Arial" w:eastAsia="MS Mincho" w:hAnsi="Arial"/>
          <w:b/>
          <w:sz w:val="24"/>
          <w:szCs w:val="24"/>
          <w:lang w:val="en-GB" w:eastAsia="x-none"/>
        </w:rPr>
        <w:t>6</w:t>
      </w:r>
      <w:r w:rsidR="00D17586">
        <w:rPr>
          <w:rFonts w:ascii="Arial" w:eastAsia="MS Mincho" w:hAnsi="Arial"/>
          <w:b/>
          <w:sz w:val="24"/>
          <w:szCs w:val="24"/>
          <w:lang w:val="en-GB" w:eastAsia="x-none"/>
        </w:rPr>
        <w:tab/>
        <w:t>R2-19</w:t>
      </w:r>
      <w:r w:rsidR="007D3783">
        <w:rPr>
          <w:rFonts w:ascii="Arial" w:eastAsia="MS Mincho" w:hAnsi="Arial"/>
          <w:b/>
          <w:sz w:val="24"/>
          <w:szCs w:val="24"/>
          <w:lang w:val="en-GB" w:eastAsia="x-none"/>
        </w:rPr>
        <w:t>06618</w:t>
      </w:r>
      <w:bookmarkStart w:id="2" w:name="_GoBack"/>
      <w:bookmarkEnd w:id="2"/>
    </w:p>
    <w:p w14:paraId="6877EE3A" w14:textId="5FE6252E" w:rsidR="00895250" w:rsidRPr="00BA4886" w:rsidRDefault="006A73F6"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w:t>
      </w:r>
      <w:r w:rsidR="00B559E8" w:rsidRPr="00B559E8">
        <w:rPr>
          <w:rFonts w:ascii="Arial" w:eastAsia="MS Mincho" w:hAnsi="Arial"/>
          <w:b/>
          <w:sz w:val="24"/>
          <w:szCs w:val="24"/>
          <w:lang w:val="en-GB" w:eastAsia="x-none"/>
        </w:rPr>
        <w:t xml:space="preserve">, </w:t>
      </w:r>
      <w:r>
        <w:rPr>
          <w:rFonts w:ascii="Arial" w:eastAsia="MS Mincho" w:hAnsi="Arial"/>
          <w:b/>
          <w:sz w:val="24"/>
          <w:szCs w:val="24"/>
          <w:lang w:val="en-GB" w:eastAsia="x-none"/>
        </w:rPr>
        <w:t>US</w:t>
      </w:r>
      <w:r w:rsidR="00B559E8" w:rsidRPr="00B559E8">
        <w:rPr>
          <w:rFonts w:ascii="Arial" w:eastAsia="MS Mincho" w:hAnsi="Arial"/>
          <w:b/>
          <w:sz w:val="24"/>
          <w:szCs w:val="24"/>
          <w:lang w:val="en-GB" w:eastAsia="x-none"/>
        </w:rPr>
        <w:t xml:space="preserve">, </w:t>
      </w:r>
      <w:r>
        <w:rPr>
          <w:rFonts w:ascii="Arial" w:eastAsia="MS Mincho" w:hAnsi="Arial"/>
          <w:b/>
          <w:sz w:val="24"/>
          <w:szCs w:val="24"/>
          <w:lang w:val="en-GB" w:eastAsia="x-none"/>
        </w:rPr>
        <w:t>May 13</w:t>
      </w:r>
      <w:r w:rsidRPr="006A73F6">
        <w:rPr>
          <w:rFonts w:ascii="Arial" w:eastAsia="MS Mincho" w:hAnsi="Arial"/>
          <w:b/>
          <w:sz w:val="24"/>
          <w:szCs w:val="24"/>
          <w:vertAlign w:val="superscript"/>
          <w:lang w:val="en-GB" w:eastAsia="x-none"/>
        </w:rPr>
        <w:t>th</w:t>
      </w:r>
      <w:r>
        <w:rPr>
          <w:rFonts w:ascii="Arial" w:eastAsia="MS Mincho" w:hAnsi="Arial"/>
          <w:b/>
          <w:sz w:val="24"/>
          <w:szCs w:val="24"/>
          <w:lang w:val="en-GB" w:eastAsia="x-none"/>
        </w:rPr>
        <w:t xml:space="preserve"> to May 17</w:t>
      </w:r>
      <w:r w:rsidRPr="006A73F6">
        <w:rPr>
          <w:rFonts w:ascii="Arial" w:eastAsia="MS Mincho" w:hAnsi="Arial"/>
          <w:b/>
          <w:sz w:val="24"/>
          <w:szCs w:val="24"/>
          <w:vertAlign w:val="superscript"/>
          <w:lang w:val="en-GB" w:eastAsia="x-none"/>
        </w:rPr>
        <w:t>th</w:t>
      </w:r>
      <w:r w:rsidR="007C3DB9">
        <w:rPr>
          <w:rFonts w:ascii="Arial" w:eastAsia="MS Mincho" w:hAnsi="Arial"/>
          <w:b/>
          <w:sz w:val="24"/>
          <w:szCs w:val="24"/>
          <w:lang w:val="en-GB" w:eastAsia="x-none"/>
        </w:rPr>
        <w:t>, 2019</w:t>
      </w:r>
      <w:r w:rsidR="00F913DB">
        <w:rPr>
          <w:rFonts w:ascii="Arial" w:eastAsia="MS Mincho" w:hAnsi="Arial"/>
          <w:b/>
          <w:sz w:val="24"/>
          <w:szCs w:val="24"/>
          <w:lang w:val="en-GB" w:eastAsia="x-none"/>
        </w:rPr>
        <w:tab/>
      </w:r>
    </w:p>
    <w:p w14:paraId="4D802B6F" w14:textId="77777777" w:rsidR="00B559E8" w:rsidRDefault="00B559E8" w:rsidP="00A07E02">
      <w:pPr>
        <w:pStyle w:val="3GPPHeader"/>
        <w:rPr>
          <w:rFonts w:ascii="Arial" w:hAnsi="Arial" w:cs="Arial"/>
          <w:szCs w:val="24"/>
        </w:rPr>
      </w:pPr>
    </w:p>
    <w:p w14:paraId="027912C8" w14:textId="0710B075"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0F3918">
        <w:rPr>
          <w:rFonts w:ascii="Arial" w:hAnsi="Arial" w:cs="Arial"/>
          <w:szCs w:val="24"/>
        </w:rPr>
        <w:t>11.5.2</w:t>
      </w:r>
    </w:p>
    <w:p w14:paraId="79D236BA" w14:textId="6DED9819"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r w:rsidR="00B559E8">
        <w:rPr>
          <w:rFonts w:ascii="Arial" w:hAnsi="Arial" w:cs="Arial"/>
          <w:szCs w:val="24"/>
        </w:rPr>
        <w:t>OPPO</w:t>
      </w:r>
    </w:p>
    <w:p w14:paraId="108A86FF" w14:textId="4AD6C791"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280252">
        <w:rPr>
          <w:b/>
          <w:sz w:val="24"/>
          <w:lang w:val="en-GB"/>
        </w:rPr>
        <w:t xml:space="preserve">Security aspect of UE capability </w:t>
      </w:r>
      <w:r w:rsidR="00EA1823">
        <w:rPr>
          <w:b/>
          <w:sz w:val="24"/>
          <w:lang w:val="en-GB"/>
        </w:rPr>
        <w:t>i</w:t>
      </w:r>
      <w:r w:rsidR="00280252">
        <w:rPr>
          <w:b/>
          <w:sz w:val="24"/>
          <w:lang w:val="en-GB"/>
        </w:rPr>
        <w:t>nquiry</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2B30B764" w14:textId="7D651122" w:rsidR="003A22AF" w:rsidRPr="00102C14" w:rsidRDefault="002B644C" w:rsidP="0005165E">
      <w:pPr>
        <w:spacing w:beforeLines="50" w:before="120"/>
        <w:rPr>
          <w:rFonts w:ascii="Times New Roman" w:hAnsi="Times New Roman"/>
        </w:rPr>
      </w:pPr>
      <w:bookmarkStart w:id="6" w:name="OLE_LINK41"/>
      <w:bookmarkStart w:id="7" w:name="OLE_LINK24"/>
      <w:bookmarkStart w:id="8" w:name="OLE_LINK17"/>
      <w:bookmarkStart w:id="9" w:name="OLE_LINK16"/>
      <w:bookmarkEnd w:id="3"/>
      <w:bookmarkEnd w:id="4"/>
      <w:bookmarkEnd w:id="5"/>
      <w:r>
        <w:rPr>
          <w:rFonts w:ascii="Times New Roman" w:hAnsi="Times New Roman"/>
        </w:rPr>
        <w:t xml:space="preserve">According to TR 37.873 [1], </w:t>
      </w:r>
      <w:r w:rsidRPr="002B644C">
        <w:rPr>
          <w:rFonts w:ascii="Times New Roman" w:hAnsi="Times New Roman"/>
        </w:rPr>
        <w:t xml:space="preserve">UE capability ID </w:t>
      </w:r>
      <w:r>
        <w:rPr>
          <w:rFonts w:ascii="Times New Roman" w:hAnsi="Times New Roman"/>
        </w:rPr>
        <w:t xml:space="preserve">can be included in </w:t>
      </w:r>
      <w:proofErr w:type="spellStart"/>
      <w:r>
        <w:rPr>
          <w:rFonts w:ascii="Times New Roman" w:hAnsi="Times New Roman"/>
        </w:rPr>
        <w:t>UECapabilityInformation</w:t>
      </w:r>
      <w:proofErr w:type="spellEnd"/>
      <w:r>
        <w:rPr>
          <w:rFonts w:ascii="Times New Roman" w:hAnsi="Times New Roman"/>
        </w:rPr>
        <w:t xml:space="preserve"> message only after security is activated. In this paper, we discuss a few security concerns about the UE capability inquiry procedure.</w:t>
      </w:r>
    </w:p>
    <w:p w14:paraId="28A5C741" w14:textId="5D0AB3F1" w:rsidR="00F856F0" w:rsidRPr="009B216A" w:rsidRDefault="00202DDC" w:rsidP="009B216A">
      <w:pPr>
        <w:pStyle w:val="Heading1"/>
        <w:overflowPunct w:val="0"/>
        <w:autoSpaceDE w:val="0"/>
        <w:autoSpaceDN w:val="0"/>
        <w:adjustRightInd w:val="0"/>
        <w:rPr>
          <w:rFonts w:eastAsia="PMingLiU" w:cs="Arial"/>
        </w:rPr>
      </w:pPr>
      <w:r w:rsidRPr="00BA4886">
        <w:rPr>
          <w:rFonts w:eastAsia="PMingLiU" w:cs="Arial"/>
        </w:rPr>
        <w:t>Discussion</w:t>
      </w:r>
    </w:p>
    <w:p w14:paraId="72BB834D" w14:textId="603F58E4" w:rsidR="004F2F7A" w:rsidRDefault="002B644C" w:rsidP="004F2F7A">
      <w:pPr>
        <w:rPr>
          <w:rFonts w:ascii="Times New Roman" w:hAnsi="Times New Roman"/>
        </w:rPr>
      </w:pPr>
      <w:r>
        <w:rPr>
          <w:rFonts w:ascii="Times New Roman" w:hAnsi="Times New Roman"/>
        </w:rPr>
        <w:t>For Rel-16 UE capability signaling optimization, it’s been agreed that UE capability ID must be transferred after AS layer security is activated, i.e. after the security mode command procedure</w:t>
      </w:r>
      <w:r w:rsidR="004F2F7A">
        <w:rPr>
          <w:rFonts w:ascii="Times New Roman" w:hAnsi="Times New Roman"/>
        </w:rPr>
        <w:t>.</w:t>
      </w:r>
      <w:r>
        <w:rPr>
          <w:rFonts w:ascii="Times New Roman" w:hAnsi="Times New Roman"/>
        </w:rPr>
        <w:t xml:space="preserve"> However, we examine the existing RRC specification, there </w:t>
      </w:r>
      <w:r w:rsidR="00E07E0F">
        <w:rPr>
          <w:rFonts w:ascii="Times New Roman" w:hAnsi="Times New Roman"/>
        </w:rPr>
        <w:t>seems</w:t>
      </w:r>
      <w:r>
        <w:rPr>
          <w:rFonts w:ascii="Times New Roman" w:hAnsi="Times New Roman"/>
        </w:rPr>
        <w:t xml:space="preserve"> no requirement that UE capability enquiry procedure</w:t>
      </w:r>
      <w:r w:rsidR="00ED03C5">
        <w:rPr>
          <w:rFonts w:ascii="Times New Roman" w:hAnsi="Times New Roman"/>
        </w:rPr>
        <w:t>.</w:t>
      </w:r>
    </w:p>
    <w:p w14:paraId="39112C30" w14:textId="79421205" w:rsidR="00ED03C5" w:rsidRDefault="00E07E0F" w:rsidP="00ED03C5">
      <w:pPr>
        <w:pStyle w:val="ListParagraph"/>
        <w:numPr>
          <w:ilvl w:val="0"/>
          <w:numId w:val="30"/>
        </w:numPr>
        <w:rPr>
          <w:rFonts w:ascii="Times New Roman" w:hAnsi="Times New Roman"/>
        </w:rPr>
      </w:pPr>
      <w:r>
        <w:rPr>
          <w:rFonts w:ascii="Times New Roman" w:hAnsi="Times New Roman"/>
        </w:rPr>
        <w:t>In section 5.6.1.2 in 38.331, it does not mention “the</w:t>
      </w:r>
      <w:r w:rsidRPr="00E07E0F">
        <w:rPr>
          <w:rFonts w:ascii="Times New Roman" w:hAnsi="Times New Roman"/>
        </w:rPr>
        <w:t xml:space="preserve"> UE shall initiate this procedure only after successful security activation</w:t>
      </w:r>
      <w:r>
        <w:rPr>
          <w:rFonts w:ascii="Times New Roman" w:hAnsi="Times New Roman"/>
        </w:rPr>
        <w:t>”.</w:t>
      </w:r>
    </w:p>
    <w:p w14:paraId="25F2BDD6" w14:textId="4C654E13" w:rsidR="00E07E0F" w:rsidRDefault="00E07E0F" w:rsidP="00E07E0F">
      <w:pPr>
        <w:pStyle w:val="ListParagraph"/>
        <w:numPr>
          <w:ilvl w:val="0"/>
          <w:numId w:val="30"/>
        </w:numPr>
        <w:rPr>
          <w:rFonts w:ascii="Times New Roman" w:hAnsi="Times New Roman"/>
        </w:rPr>
      </w:pPr>
      <w:r>
        <w:rPr>
          <w:rFonts w:ascii="Times New Roman" w:hAnsi="Times New Roman"/>
        </w:rPr>
        <w:t>In Annex B in 38.331, the following table also suggests security may not be required for this procedure.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515"/>
        <w:gridCol w:w="4680"/>
        <w:gridCol w:w="1080"/>
        <w:gridCol w:w="1080"/>
      </w:tblGrid>
      <w:tr w:rsidR="00E07E0F" w:rsidRPr="00645E3C" w14:paraId="2376F7C0" w14:textId="77777777" w:rsidTr="00E07E0F">
        <w:trPr>
          <w:cantSplit/>
          <w:tblHeader/>
        </w:trPr>
        <w:tc>
          <w:tcPr>
            <w:tcW w:w="2515" w:type="dxa"/>
            <w:shd w:val="clear" w:color="auto" w:fill="auto"/>
            <w:hideMark/>
          </w:tcPr>
          <w:p w14:paraId="173883BF" w14:textId="77777777" w:rsidR="00E07E0F" w:rsidRPr="00645E3C" w:rsidRDefault="00E07E0F" w:rsidP="0042044F">
            <w:pPr>
              <w:pStyle w:val="TAH"/>
              <w:tabs>
                <w:tab w:val="center" w:pos="4820"/>
                <w:tab w:val="right" w:pos="9640"/>
              </w:tabs>
              <w:rPr>
                <w:lang w:eastAsia="en-GB"/>
              </w:rPr>
            </w:pPr>
            <w:r w:rsidRPr="00645E3C">
              <w:rPr>
                <w:lang w:eastAsia="en-GB"/>
              </w:rPr>
              <w:t>Message</w:t>
            </w:r>
          </w:p>
        </w:tc>
        <w:tc>
          <w:tcPr>
            <w:tcW w:w="4680" w:type="dxa"/>
            <w:shd w:val="clear" w:color="auto" w:fill="auto"/>
            <w:hideMark/>
          </w:tcPr>
          <w:p w14:paraId="5755BC79" w14:textId="77777777" w:rsidR="00E07E0F" w:rsidRDefault="00E07E0F" w:rsidP="0042044F">
            <w:pPr>
              <w:pStyle w:val="TAH"/>
              <w:tabs>
                <w:tab w:val="center" w:pos="4820"/>
                <w:tab w:val="right" w:pos="9640"/>
              </w:tabs>
              <w:rPr>
                <w:lang w:eastAsia="en-GB"/>
              </w:rPr>
            </w:pPr>
            <w:r w:rsidRPr="00645E3C">
              <w:rPr>
                <w:lang w:eastAsia="en-GB"/>
              </w:rPr>
              <w:t>P</w:t>
            </w:r>
          </w:p>
          <w:p w14:paraId="6E230462" w14:textId="46010278" w:rsidR="00E07E0F" w:rsidRPr="00E07E0F" w:rsidRDefault="00E07E0F" w:rsidP="00E07E0F">
            <w:pPr>
              <w:rPr>
                <w:rFonts w:ascii="Times New Roman" w:eastAsia="宋体" w:hAnsi="Times New Roman"/>
                <w:sz w:val="18"/>
                <w:szCs w:val="18"/>
                <w:lang w:val="en-GB" w:eastAsia="en-US"/>
              </w:rPr>
            </w:pPr>
            <w:r w:rsidRPr="00E07E0F">
              <w:rPr>
                <w:sz w:val="18"/>
                <w:szCs w:val="18"/>
                <w:lang w:eastAsia="en-GB"/>
              </w:rPr>
              <w:t>(</w:t>
            </w:r>
            <w:r w:rsidRPr="00E07E0F">
              <w:rPr>
                <w:rFonts w:ascii="Arial" w:eastAsia="MS Mincho" w:hAnsi="Arial"/>
                <w:sz w:val="18"/>
                <w:szCs w:val="18"/>
                <w:lang w:val="en-GB" w:eastAsia="ja-JP"/>
              </w:rPr>
              <w:t>Messages that can be sent (unprotected) prior to security activation</w:t>
            </w:r>
            <w:r w:rsidRPr="00E07E0F">
              <w:rPr>
                <w:rFonts w:ascii="Times New Roman" w:eastAsia="宋体" w:hAnsi="Times New Roman"/>
                <w:b/>
                <w:sz w:val="18"/>
                <w:szCs w:val="18"/>
                <w:lang w:eastAsia="en-US"/>
              </w:rPr>
              <w:t>)</w:t>
            </w:r>
          </w:p>
        </w:tc>
        <w:tc>
          <w:tcPr>
            <w:tcW w:w="1080" w:type="dxa"/>
            <w:shd w:val="clear" w:color="auto" w:fill="auto"/>
            <w:hideMark/>
          </w:tcPr>
          <w:p w14:paraId="506C272D" w14:textId="77777777" w:rsidR="00E07E0F" w:rsidRPr="00645E3C" w:rsidRDefault="00E07E0F" w:rsidP="0042044F">
            <w:pPr>
              <w:pStyle w:val="TAH"/>
              <w:tabs>
                <w:tab w:val="center" w:pos="4820"/>
                <w:tab w:val="right" w:pos="9640"/>
              </w:tabs>
              <w:rPr>
                <w:lang w:eastAsia="en-GB"/>
              </w:rPr>
            </w:pPr>
            <w:r w:rsidRPr="00645E3C">
              <w:rPr>
                <w:lang w:eastAsia="en-GB"/>
              </w:rPr>
              <w:t>A-I</w:t>
            </w:r>
          </w:p>
        </w:tc>
        <w:tc>
          <w:tcPr>
            <w:tcW w:w="1080" w:type="dxa"/>
            <w:shd w:val="clear" w:color="auto" w:fill="auto"/>
            <w:hideMark/>
          </w:tcPr>
          <w:p w14:paraId="6027C1B0" w14:textId="77777777" w:rsidR="00E07E0F" w:rsidRPr="00645E3C" w:rsidRDefault="00E07E0F" w:rsidP="0042044F">
            <w:pPr>
              <w:pStyle w:val="TAH"/>
              <w:tabs>
                <w:tab w:val="center" w:pos="4820"/>
                <w:tab w:val="right" w:pos="9640"/>
              </w:tabs>
              <w:rPr>
                <w:lang w:eastAsia="en-GB"/>
              </w:rPr>
            </w:pPr>
            <w:r w:rsidRPr="00645E3C">
              <w:rPr>
                <w:lang w:eastAsia="en-GB"/>
              </w:rPr>
              <w:t>A-C</w:t>
            </w:r>
          </w:p>
        </w:tc>
      </w:tr>
      <w:tr w:rsidR="00E07E0F" w:rsidRPr="00645E3C" w14:paraId="10BA44DA" w14:textId="77777777" w:rsidTr="00E07E0F">
        <w:trPr>
          <w:cantSplit/>
        </w:trPr>
        <w:tc>
          <w:tcPr>
            <w:tcW w:w="2515" w:type="dxa"/>
            <w:shd w:val="clear" w:color="auto" w:fill="auto"/>
            <w:hideMark/>
          </w:tcPr>
          <w:p w14:paraId="171143B3" w14:textId="77777777" w:rsidR="00E07E0F" w:rsidRPr="00645E3C" w:rsidRDefault="00E07E0F" w:rsidP="0042044F">
            <w:pPr>
              <w:pStyle w:val="TAL"/>
              <w:tabs>
                <w:tab w:val="center" w:pos="4820"/>
                <w:tab w:val="right" w:pos="9640"/>
              </w:tabs>
              <w:rPr>
                <w:lang w:eastAsia="ja-JP"/>
              </w:rPr>
            </w:pPr>
            <w:proofErr w:type="spellStart"/>
            <w:r w:rsidRPr="00645E3C">
              <w:rPr>
                <w:lang w:eastAsia="ja-JP"/>
              </w:rPr>
              <w:t>UECapabilityEnquiry</w:t>
            </w:r>
            <w:proofErr w:type="spellEnd"/>
          </w:p>
        </w:tc>
        <w:tc>
          <w:tcPr>
            <w:tcW w:w="4680" w:type="dxa"/>
            <w:shd w:val="clear" w:color="auto" w:fill="auto"/>
            <w:hideMark/>
          </w:tcPr>
          <w:p w14:paraId="0C5EDC75" w14:textId="77777777" w:rsidR="00E07E0F" w:rsidRPr="00645E3C" w:rsidRDefault="00E07E0F" w:rsidP="0042044F">
            <w:pPr>
              <w:pStyle w:val="TAL"/>
              <w:tabs>
                <w:tab w:val="center" w:pos="4820"/>
                <w:tab w:val="right" w:pos="9640"/>
              </w:tabs>
              <w:rPr>
                <w:lang w:eastAsia="ja-JP"/>
              </w:rPr>
            </w:pPr>
            <w:r w:rsidRPr="00645E3C">
              <w:rPr>
                <w:lang w:eastAsia="ja-JP"/>
              </w:rPr>
              <w:t>+</w:t>
            </w:r>
          </w:p>
        </w:tc>
        <w:tc>
          <w:tcPr>
            <w:tcW w:w="1080" w:type="dxa"/>
            <w:shd w:val="clear" w:color="auto" w:fill="auto"/>
            <w:hideMark/>
          </w:tcPr>
          <w:p w14:paraId="2E3C3159" w14:textId="77777777" w:rsidR="00E07E0F" w:rsidRPr="00645E3C" w:rsidRDefault="00E07E0F" w:rsidP="0042044F">
            <w:pPr>
              <w:pStyle w:val="TAL"/>
              <w:tabs>
                <w:tab w:val="center" w:pos="4820"/>
                <w:tab w:val="right" w:pos="9640"/>
              </w:tabs>
              <w:rPr>
                <w:lang w:eastAsia="ja-JP"/>
              </w:rPr>
            </w:pPr>
            <w:r w:rsidRPr="00645E3C">
              <w:rPr>
                <w:lang w:eastAsia="ja-JP"/>
              </w:rPr>
              <w:t>-</w:t>
            </w:r>
          </w:p>
        </w:tc>
        <w:tc>
          <w:tcPr>
            <w:tcW w:w="1080" w:type="dxa"/>
            <w:shd w:val="clear" w:color="auto" w:fill="auto"/>
            <w:hideMark/>
          </w:tcPr>
          <w:p w14:paraId="563DE9B0" w14:textId="77777777" w:rsidR="00E07E0F" w:rsidRPr="00645E3C" w:rsidRDefault="00E07E0F" w:rsidP="0042044F">
            <w:pPr>
              <w:pStyle w:val="TAL"/>
              <w:tabs>
                <w:tab w:val="center" w:pos="4820"/>
                <w:tab w:val="right" w:pos="9640"/>
              </w:tabs>
              <w:rPr>
                <w:lang w:eastAsia="ja-JP"/>
              </w:rPr>
            </w:pPr>
            <w:r w:rsidRPr="00645E3C">
              <w:rPr>
                <w:lang w:eastAsia="ja-JP"/>
              </w:rPr>
              <w:t>-</w:t>
            </w:r>
          </w:p>
        </w:tc>
      </w:tr>
      <w:tr w:rsidR="00E07E0F" w:rsidRPr="00645E3C" w14:paraId="12999989" w14:textId="77777777" w:rsidTr="00E07E0F">
        <w:trPr>
          <w:cantSplit/>
        </w:trPr>
        <w:tc>
          <w:tcPr>
            <w:tcW w:w="2515" w:type="dxa"/>
            <w:shd w:val="clear" w:color="auto" w:fill="auto"/>
            <w:hideMark/>
          </w:tcPr>
          <w:p w14:paraId="54F018BD" w14:textId="77777777" w:rsidR="00E07E0F" w:rsidRPr="00645E3C" w:rsidRDefault="00E07E0F" w:rsidP="0042044F">
            <w:pPr>
              <w:pStyle w:val="TAL"/>
              <w:tabs>
                <w:tab w:val="center" w:pos="4820"/>
                <w:tab w:val="right" w:pos="9640"/>
              </w:tabs>
              <w:rPr>
                <w:lang w:eastAsia="ja-JP"/>
              </w:rPr>
            </w:pPr>
            <w:proofErr w:type="spellStart"/>
            <w:r w:rsidRPr="00645E3C">
              <w:rPr>
                <w:lang w:eastAsia="ja-JP"/>
              </w:rPr>
              <w:t>UECapabilityInformation</w:t>
            </w:r>
            <w:proofErr w:type="spellEnd"/>
          </w:p>
        </w:tc>
        <w:tc>
          <w:tcPr>
            <w:tcW w:w="4680" w:type="dxa"/>
            <w:shd w:val="clear" w:color="auto" w:fill="auto"/>
            <w:hideMark/>
          </w:tcPr>
          <w:p w14:paraId="19F1F7AF" w14:textId="77777777" w:rsidR="00E07E0F" w:rsidRPr="00645E3C" w:rsidRDefault="00E07E0F" w:rsidP="0042044F">
            <w:pPr>
              <w:pStyle w:val="TAL"/>
              <w:tabs>
                <w:tab w:val="center" w:pos="4820"/>
                <w:tab w:val="right" w:pos="9640"/>
              </w:tabs>
              <w:rPr>
                <w:lang w:eastAsia="ja-JP"/>
              </w:rPr>
            </w:pPr>
            <w:r w:rsidRPr="00645E3C">
              <w:rPr>
                <w:lang w:eastAsia="ja-JP"/>
              </w:rPr>
              <w:t>+</w:t>
            </w:r>
          </w:p>
        </w:tc>
        <w:tc>
          <w:tcPr>
            <w:tcW w:w="1080" w:type="dxa"/>
            <w:shd w:val="clear" w:color="auto" w:fill="auto"/>
            <w:hideMark/>
          </w:tcPr>
          <w:p w14:paraId="72B7B310" w14:textId="77777777" w:rsidR="00E07E0F" w:rsidRPr="00645E3C" w:rsidRDefault="00E07E0F" w:rsidP="0042044F">
            <w:pPr>
              <w:pStyle w:val="TAL"/>
              <w:tabs>
                <w:tab w:val="center" w:pos="4820"/>
                <w:tab w:val="right" w:pos="9640"/>
              </w:tabs>
              <w:rPr>
                <w:lang w:eastAsia="ja-JP"/>
              </w:rPr>
            </w:pPr>
            <w:r w:rsidRPr="00645E3C">
              <w:rPr>
                <w:lang w:eastAsia="ja-JP"/>
              </w:rPr>
              <w:t>-</w:t>
            </w:r>
          </w:p>
        </w:tc>
        <w:tc>
          <w:tcPr>
            <w:tcW w:w="1080" w:type="dxa"/>
            <w:shd w:val="clear" w:color="auto" w:fill="auto"/>
            <w:hideMark/>
          </w:tcPr>
          <w:p w14:paraId="0C5D5963" w14:textId="77777777" w:rsidR="00E07E0F" w:rsidRPr="00645E3C" w:rsidRDefault="00E07E0F" w:rsidP="0042044F">
            <w:pPr>
              <w:pStyle w:val="TAL"/>
              <w:tabs>
                <w:tab w:val="center" w:pos="4820"/>
                <w:tab w:val="right" w:pos="9640"/>
              </w:tabs>
              <w:rPr>
                <w:lang w:eastAsia="ja-JP"/>
              </w:rPr>
            </w:pPr>
            <w:r w:rsidRPr="00645E3C">
              <w:rPr>
                <w:lang w:eastAsia="ja-JP"/>
              </w:rPr>
              <w:t>-</w:t>
            </w:r>
          </w:p>
        </w:tc>
      </w:tr>
    </w:tbl>
    <w:p w14:paraId="657107C4" w14:textId="77777777" w:rsidR="00E07E0F" w:rsidRPr="00E07E0F" w:rsidRDefault="00E07E0F" w:rsidP="00E07E0F">
      <w:pPr>
        <w:rPr>
          <w:rFonts w:ascii="Times New Roman" w:hAnsi="Times New Roman"/>
        </w:rPr>
      </w:pPr>
    </w:p>
    <w:p w14:paraId="0ACB1705" w14:textId="7B6B9C54" w:rsidR="002B644C" w:rsidRDefault="003C75D5" w:rsidP="004F2F7A">
      <w:pPr>
        <w:rPr>
          <w:rFonts w:ascii="Times New Roman" w:hAnsi="Times New Roman"/>
        </w:rPr>
      </w:pPr>
      <w:r>
        <w:rPr>
          <w:rFonts w:ascii="Times New Roman" w:hAnsi="Times New Roman"/>
        </w:rPr>
        <w:t xml:space="preserve">The </w:t>
      </w:r>
      <w:r w:rsidR="00E07E0F">
        <w:rPr>
          <w:rFonts w:ascii="Times New Roman" w:hAnsi="Times New Roman"/>
        </w:rPr>
        <w:t xml:space="preserve">following call flow </w:t>
      </w:r>
      <w:r>
        <w:rPr>
          <w:rFonts w:ascii="Times New Roman" w:hAnsi="Times New Roman"/>
        </w:rPr>
        <w:t>reflects a typical UE registration procedure with UE capability enquiry where the UE capability information can be sent before AS SMC.</w:t>
      </w:r>
    </w:p>
    <w:p w14:paraId="17F79794" w14:textId="107EC217" w:rsidR="003C75D5" w:rsidRDefault="003C75D5" w:rsidP="004F2F7A">
      <w:pPr>
        <w:rPr>
          <w:rFonts w:ascii="Times New Roman" w:hAnsi="Times New Roman"/>
        </w:rPr>
      </w:pPr>
    </w:p>
    <w:p w14:paraId="69E89E1B" w14:textId="4EB10664" w:rsidR="003C75D5" w:rsidRDefault="003C75D5" w:rsidP="004F2F7A">
      <w:pPr>
        <w:rPr>
          <w:rFonts w:ascii="Times New Roman" w:hAnsi="Times New Roman"/>
          <w:b/>
        </w:rPr>
      </w:pPr>
      <w:r w:rsidRPr="003C75D5">
        <w:rPr>
          <w:rFonts w:ascii="Times New Roman" w:hAnsi="Times New Roman"/>
          <w:b/>
        </w:rPr>
        <w:t>Observation 1</w:t>
      </w:r>
      <w:r>
        <w:rPr>
          <w:rFonts w:ascii="Times New Roman" w:hAnsi="Times New Roman"/>
          <w:b/>
        </w:rPr>
        <w:t>: the existing specification does not require security activation before UE capability transfer.</w:t>
      </w:r>
    </w:p>
    <w:p w14:paraId="784F0F67" w14:textId="0C0EE3E6" w:rsidR="003C75D5" w:rsidRDefault="003C75D5" w:rsidP="004F2F7A">
      <w:pPr>
        <w:rPr>
          <w:rFonts w:ascii="Times New Roman" w:hAnsi="Times New Roman"/>
          <w:b/>
        </w:rPr>
      </w:pPr>
    </w:p>
    <w:p w14:paraId="32499D3C" w14:textId="7D52DDC9" w:rsidR="003C75D5" w:rsidRDefault="003C75D5" w:rsidP="004F2F7A">
      <w:pPr>
        <w:rPr>
          <w:rFonts w:ascii="Times New Roman" w:hAnsi="Times New Roman"/>
        </w:rPr>
      </w:pPr>
      <w:r>
        <w:rPr>
          <w:rFonts w:ascii="Times New Roman" w:hAnsi="Times New Roman"/>
        </w:rPr>
        <w:t xml:space="preserve">In our understanding, it would be contractionary if the UE capability ID requires security activation but the UE capability information itself does not. Therefore, the specification needs to be updated to mandate security activation for </w:t>
      </w:r>
      <w:proofErr w:type="spellStart"/>
      <w:r>
        <w:rPr>
          <w:rFonts w:ascii="Times New Roman" w:hAnsi="Times New Roman"/>
        </w:rPr>
        <w:t>UECapabilityEnquiry</w:t>
      </w:r>
      <w:proofErr w:type="spellEnd"/>
      <w:r>
        <w:rPr>
          <w:rFonts w:ascii="Times New Roman" w:hAnsi="Times New Roman"/>
        </w:rPr>
        <w:t xml:space="preserve"> and </w:t>
      </w:r>
      <w:proofErr w:type="spellStart"/>
      <w:r>
        <w:rPr>
          <w:rFonts w:ascii="Times New Roman" w:hAnsi="Times New Roman"/>
        </w:rPr>
        <w:t>UECapabilityInformation</w:t>
      </w:r>
      <w:proofErr w:type="spellEnd"/>
      <w:r>
        <w:rPr>
          <w:rFonts w:ascii="Times New Roman" w:hAnsi="Times New Roman"/>
        </w:rPr>
        <w:t>. That is, messages 9 and 10 in figure 1 shall happen after message box 12.</w:t>
      </w:r>
    </w:p>
    <w:p w14:paraId="79C584D4" w14:textId="6F135C3B" w:rsidR="003C75D5" w:rsidRDefault="003C75D5" w:rsidP="004F2F7A">
      <w:pPr>
        <w:rPr>
          <w:rFonts w:ascii="Times New Roman" w:hAnsi="Times New Roman"/>
        </w:rPr>
      </w:pPr>
    </w:p>
    <w:p w14:paraId="1C8CF609" w14:textId="1F6E7495" w:rsidR="003C75D5" w:rsidRDefault="003C75D5" w:rsidP="003C75D5">
      <w:pPr>
        <w:rPr>
          <w:rFonts w:ascii="Times New Roman" w:hAnsi="Times New Roman"/>
          <w:b/>
        </w:rPr>
      </w:pPr>
      <w:r>
        <w:rPr>
          <w:rFonts w:ascii="Times New Roman" w:hAnsi="Times New Roman"/>
          <w:b/>
        </w:rPr>
        <w:t xml:space="preserve">Proposal </w:t>
      </w:r>
      <w:r w:rsidRPr="003C75D5">
        <w:rPr>
          <w:rFonts w:ascii="Times New Roman" w:hAnsi="Times New Roman"/>
          <w:b/>
        </w:rPr>
        <w:t>1</w:t>
      </w:r>
      <w:r>
        <w:rPr>
          <w:rFonts w:ascii="Times New Roman" w:hAnsi="Times New Roman"/>
          <w:b/>
        </w:rPr>
        <w:t>:</w:t>
      </w:r>
      <w:r w:rsidR="00DD25A7">
        <w:rPr>
          <w:rFonts w:ascii="Times New Roman" w:hAnsi="Times New Roman"/>
          <w:b/>
        </w:rPr>
        <w:t xml:space="preserve"> </w:t>
      </w:r>
      <w:proofErr w:type="spellStart"/>
      <w:r>
        <w:rPr>
          <w:rFonts w:ascii="Times New Roman" w:hAnsi="Times New Roman"/>
          <w:b/>
        </w:rPr>
        <w:t>UECapabilityEnquiry</w:t>
      </w:r>
      <w:proofErr w:type="spellEnd"/>
      <w:r>
        <w:rPr>
          <w:rFonts w:ascii="Times New Roman" w:hAnsi="Times New Roman"/>
          <w:b/>
        </w:rPr>
        <w:t xml:space="preserve"> and </w:t>
      </w:r>
      <w:proofErr w:type="spellStart"/>
      <w:r>
        <w:rPr>
          <w:rFonts w:ascii="Times New Roman" w:hAnsi="Times New Roman"/>
          <w:b/>
        </w:rPr>
        <w:t>UECapabilityInformation</w:t>
      </w:r>
      <w:proofErr w:type="spellEnd"/>
      <w:r>
        <w:rPr>
          <w:rFonts w:ascii="Times New Roman" w:hAnsi="Times New Roman"/>
          <w:b/>
        </w:rPr>
        <w:t xml:space="preserve"> can only be </w:t>
      </w:r>
      <w:r w:rsidR="00DD25A7">
        <w:rPr>
          <w:rFonts w:ascii="Times New Roman" w:hAnsi="Times New Roman"/>
          <w:b/>
        </w:rPr>
        <w:t>transferred after AS layer security activation.</w:t>
      </w:r>
    </w:p>
    <w:p w14:paraId="54C63925" w14:textId="77777777" w:rsidR="003C75D5" w:rsidRDefault="003C75D5" w:rsidP="004F2F7A">
      <w:pPr>
        <w:rPr>
          <w:rFonts w:ascii="Times New Roman" w:hAnsi="Times New Roman"/>
        </w:rPr>
      </w:pPr>
    </w:p>
    <w:p w14:paraId="09B7EFC0" w14:textId="77777777" w:rsidR="003C75D5" w:rsidRPr="003C75D5" w:rsidRDefault="003C75D5" w:rsidP="004F2F7A">
      <w:pPr>
        <w:rPr>
          <w:rFonts w:ascii="Times New Roman" w:hAnsi="Times New Roman"/>
        </w:rPr>
      </w:pPr>
    </w:p>
    <w:p w14:paraId="760BD93F" w14:textId="4F6FA459" w:rsidR="003C75D5" w:rsidRDefault="003C75D5" w:rsidP="004F2F7A">
      <w:r>
        <w:object w:dxaOrig="13068" w:dyaOrig="10699" w14:anchorId="1B10F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94.15pt" o:ole="">
            <v:imagedata r:id="rId8" o:title=""/>
          </v:shape>
          <o:OLEObject Type="Embed" ProgID="Visio.Drawing.15" ShapeID="_x0000_i1025" DrawAspect="Content" ObjectID="_1618299043" r:id="rId9"/>
        </w:object>
      </w:r>
    </w:p>
    <w:p w14:paraId="0900D3D6" w14:textId="5A8F6021" w:rsidR="003C75D5" w:rsidRDefault="003C75D5" w:rsidP="003C75D5">
      <w:pPr>
        <w:jc w:val="center"/>
        <w:rPr>
          <w:rFonts w:ascii="Times New Roman" w:hAnsi="Times New Roman"/>
        </w:rPr>
      </w:pPr>
      <w:r>
        <w:rPr>
          <w:rFonts w:ascii="Times New Roman" w:hAnsi="Times New Roman"/>
          <w:lang w:val="en-GB"/>
        </w:rPr>
        <w:t>Figure 1: A typical UE registration procedure with UE capability enquiry.</w:t>
      </w:r>
    </w:p>
    <w:p w14:paraId="7EF5F681" w14:textId="77777777" w:rsidR="002B644C" w:rsidRDefault="002B644C" w:rsidP="004F2F7A">
      <w:pPr>
        <w:rPr>
          <w:rFonts w:ascii="Times New Roman" w:hAnsi="Times New Roman"/>
        </w:rPr>
      </w:pPr>
    </w:p>
    <w:bookmarkEnd w:id="6"/>
    <w:bookmarkEnd w:id="7"/>
    <w:bookmarkEnd w:id="8"/>
    <w:bookmarkEnd w:id="9"/>
    <w:p w14:paraId="016302AC" w14:textId="75F03685" w:rsidR="00A17DB7" w:rsidRPr="00BA4886" w:rsidRDefault="00315578" w:rsidP="00A17DB7">
      <w:pPr>
        <w:pStyle w:val="Heading1"/>
        <w:overflowPunct w:val="0"/>
        <w:autoSpaceDE w:val="0"/>
        <w:autoSpaceDN w:val="0"/>
        <w:adjustRightInd w:val="0"/>
        <w:rPr>
          <w:rFonts w:eastAsia="PMingLiU" w:cs="Arial"/>
        </w:rPr>
      </w:pPr>
      <w:r>
        <w:rPr>
          <w:rFonts w:eastAsia="PMingLiU" w:cs="Arial"/>
        </w:rPr>
        <w:t>Conclusion and proposals</w:t>
      </w:r>
    </w:p>
    <w:bookmarkEnd w:id="0"/>
    <w:bookmarkEnd w:id="1"/>
    <w:p w14:paraId="092B93C3" w14:textId="53EB38F9" w:rsidR="00521873" w:rsidRDefault="00D17586" w:rsidP="00DD25A7">
      <w:pPr>
        <w:spacing w:after="240"/>
        <w:rPr>
          <w:rFonts w:ascii="Times New Roman" w:hAnsi="Times New Roman"/>
        </w:rPr>
      </w:pPr>
      <w:r w:rsidRPr="00E10B88">
        <w:rPr>
          <w:rFonts w:ascii="Times New Roman" w:hAnsi="Times New Roman"/>
        </w:rPr>
        <w:t xml:space="preserve">This document </w:t>
      </w:r>
      <w:r w:rsidR="0035180F" w:rsidRPr="00E10B88">
        <w:rPr>
          <w:rFonts w:ascii="Times New Roman" w:hAnsi="Times New Roman"/>
        </w:rPr>
        <w:t xml:space="preserve">discussed </w:t>
      </w:r>
      <w:r w:rsidR="00DD25A7">
        <w:rPr>
          <w:rFonts w:ascii="Times New Roman" w:hAnsi="Times New Roman"/>
        </w:rPr>
        <w:t>a potential conflict on security activation regarding UE capability information transfer. We have the following observation and proposal:</w:t>
      </w:r>
    </w:p>
    <w:p w14:paraId="01FF2B53" w14:textId="2F09DBCC" w:rsidR="00DD25A7" w:rsidRDefault="00DD25A7" w:rsidP="00DD25A7">
      <w:pPr>
        <w:rPr>
          <w:rFonts w:ascii="Times New Roman" w:hAnsi="Times New Roman"/>
          <w:b/>
        </w:rPr>
      </w:pPr>
      <w:r w:rsidRPr="003C75D5">
        <w:rPr>
          <w:rFonts w:ascii="Times New Roman" w:hAnsi="Times New Roman"/>
          <w:b/>
        </w:rPr>
        <w:t>Observation 1</w:t>
      </w:r>
      <w:r>
        <w:rPr>
          <w:rFonts w:ascii="Times New Roman" w:hAnsi="Times New Roman"/>
          <w:b/>
        </w:rPr>
        <w:t>: the existing specification does not require security activation before UE capability transfer.</w:t>
      </w:r>
    </w:p>
    <w:p w14:paraId="2841FA6D" w14:textId="77777777" w:rsidR="00DD25A7" w:rsidRDefault="00DD25A7" w:rsidP="00DD25A7">
      <w:pPr>
        <w:rPr>
          <w:rFonts w:ascii="Times New Roman" w:hAnsi="Times New Roman"/>
          <w:b/>
        </w:rPr>
      </w:pPr>
    </w:p>
    <w:p w14:paraId="35DE5FB1" w14:textId="77777777" w:rsidR="00DD25A7" w:rsidRDefault="00DD25A7" w:rsidP="00DD25A7">
      <w:pPr>
        <w:rPr>
          <w:rFonts w:ascii="Times New Roman" w:hAnsi="Times New Roman"/>
          <w:b/>
        </w:rPr>
      </w:pPr>
      <w:r>
        <w:rPr>
          <w:rFonts w:ascii="Times New Roman" w:hAnsi="Times New Roman"/>
          <w:b/>
        </w:rPr>
        <w:t xml:space="preserve">Proposal </w:t>
      </w:r>
      <w:r w:rsidRPr="003C75D5">
        <w:rPr>
          <w:rFonts w:ascii="Times New Roman" w:hAnsi="Times New Roman"/>
          <w:b/>
        </w:rPr>
        <w:t>1</w:t>
      </w:r>
      <w:r>
        <w:rPr>
          <w:rFonts w:ascii="Times New Roman" w:hAnsi="Times New Roman"/>
          <w:b/>
        </w:rPr>
        <w:t xml:space="preserve">: </w:t>
      </w:r>
      <w:proofErr w:type="spellStart"/>
      <w:r>
        <w:rPr>
          <w:rFonts w:ascii="Times New Roman" w:hAnsi="Times New Roman"/>
          <w:b/>
        </w:rPr>
        <w:t>UECapabilityEnquiry</w:t>
      </w:r>
      <w:proofErr w:type="spellEnd"/>
      <w:r>
        <w:rPr>
          <w:rFonts w:ascii="Times New Roman" w:hAnsi="Times New Roman"/>
          <w:b/>
        </w:rPr>
        <w:t xml:space="preserve"> and </w:t>
      </w:r>
      <w:proofErr w:type="spellStart"/>
      <w:r>
        <w:rPr>
          <w:rFonts w:ascii="Times New Roman" w:hAnsi="Times New Roman"/>
          <w:b/>
        </w:rPr>
        <w:t>UECapabilityInformation</w:t>
      </w:r>
      <w:proofErr w:type="spellEnd"/>
      <w:r>
        <w:rPr>
          <w:rFonts w:ascii="Times New Roman" w:hAnsi="Times New Roman"/>
          <w:b/>
        </w:rPr>
        <w:t xml:space="preserve"> can only be transferred after AS layer security activation.</w:t>
      </w:r>
    </w:p>
    <w:p w14:paraId="221F3391" w14:textId="7F8A0BD3" w:rsidR="00785209" w:rsidRPr="00BA4886" w:rsidRDefault="00785209" w:rsidP="00785209">
      <w:pPr>
        <w:pStyle w:val="Heading1"/>
        <w:overflowPunct w:val="0"/>
        <w:autoSpaceDE w:val="0"/>
        <w:autoSpaceDN w:val="0"/>
        <w:adjustRightInd w:val="0"/>
        <w:rPr>
          <w:rFonts w:eastAsia="PMingLiU" w:cs="Arial"/>
        </w:rPr>
      </w:pPr>
      <w:r>
        <w:rPr>
          <w:rFonts w:eastAsia="PMingLiU" w:cs="Arial"/>
        </w:rPr>
        <w:t>Reference</w:t>
      </w:r>
    </w:p>
    <w:p w14:paraId="7913491A" w14:textId="7592D477" w:rsidR="00521873" w:rsidRDefault="00785209" w:rsidP="00315578">
      <w:pPr>
        <w:spacing w:after="240"/>
        <w:rPr>
          <w:rFonts w:ascii="Times New Roman" w:hAnsi="Times New Roman"/>
          <w:b/>
        </w:rPr>
      </w:pPr>
      <w:r>
        <w:rPr>
          <w:rFonts w:ascii="Times New Roman" w:hAnsi="Times New Roman"/>
        </w:rPr>
        <w:t xml:space="preserve">[1] </w:t>
      </w:r>
      <w:r w:rsidR="002B644C">
        <w:rPr>
          <w:rFonts w:ascii="Times New Roman" w:hAnsi="Times New Roman"/>
        </w:rPr>
        <w:t xml:space="preserve">TR 37.873 v0.1.0, </w:t>
      </w:r>
      <w:r w:rsidR="002B644C" w:rsidRPr="002B644C">
        <w:rPr>
          <w:rFonts w:ascii="Times New Roman" w:hAnsi="Times New Roman"/>
        </w:rPr>
        <w:t>Study on optimizations of UE radio capability signaling</w:t>
      </w:r>
    </w:p>
    <w:sectPr w:rsidR="00521873"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F86A0" w14:textId="77777777" w:rsidR="00547090" w:rsidRDefault="00547090">
      <w:pPr>
        <w:pStyle w:val="TAL"/>
      </w:pPr>
      <w:r>
        <w:separator/>
      </w:r>
    </w:p>
  </w:endnote>
  <w:endnote w:type="continuationSeparator" w:id="0">
    <w:p w14:paraId="3339A524" w14:textId="77777777" w:rsidR="00547090" w:rsidRDefault="0054709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5E2223" w:rsidRDefault="005E2223">
    <w:pPr>
      <w:pStyle w:val="Footer"/>
    </w:pPr>
    <w:r>
      <w:fldChar w:fldCharType="begin"/>
    </w:r>
    <w:r>
      <w:instrText xml:space="preserve"> PAGE   \* MERGEFORMAT </w:instrText>
    </w:r>
    <w:r>
      <w:fldChar w:fldCharType="separate"/>
    </w:r>
    <w:r w:rsidR="00D17586">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CA17D" w14:textId="77777777" w:rsidR="00547090" w:rsidRDefault="00547090">
      <w:pPr>
        <w:pStyle w:val="TAL"/>
      </w:pPr>
      <w:r>
        <w:separator/>
      </w:r>
    </w:p>
  </w:footnote>
  <w:footnote w:type="continuationSeparator" w:id="0">
    <w:p w14:paraId="7C62A622" w14:textId="77777777" w:rsidR="00547090" w:rsidRDefault="0054709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4218B"/>
    <w:multiLevelType w:val="hybridMultilevel"/>
    <w:tmpl w:val="AC1EAFFE"/>
    <w:lvl w:ilvl="0" w:tplc="80D878A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7471D2"/>
    <w:multiLevelType w:val="hybridMultilevel"/>
    <w:tmpl w:val="088EAFFC"/>
    <w:lvl w:ilvl="0" w:tplc="4A8EC2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986BA2"/>
    <w:multiLevelType w:val="hybridMultilevel"/>
    <w:tmpl w:val="81CA9F02"/>
    <w:lvl w:ilvl="0" w:tplc="83C6DA2C">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D05CB"/>
    <w:multiLevelType w:val="hybridMultilevel"/>
    <w:tmpl w:val="534268BA"/>
    <w:lvl w:ilvl="0" w:tplc="3ABA5530">
      <w:start w:val="1"/>
      <w:numFmt w:val="decimal"/>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B378D"/>
    <w:multiLevelType w:val="hybridMultilevel"/>
    <w:tmpl w:val="B330B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119BD"/>
    <w:multiLevelType w:val="hybridMultilevel"/>
    <w:tmpl w:val="404E6618"/>
    <w:lvl w:ilvl="0" w:tplc="47CCED14">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F0D8D"/>
    <w:multiLevelType w:val="hybridMultilevel"/>
    <w:tmpl w:val="024EEC46"/>
    <w:lvl w:ilvl="0" w:tplc="3934E12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73D7DD4"/>
    <w:multiLevelType w:val="hybridMultilevel"/>
    <w:tmpl w:val="BEB4A1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B15D2B"/>
    <w:multiLevelType w:val="hybridMultilevel"/>
    <w:tmpl w:val="E4841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D74F3A"/>
    <w:multiLevelType w:val="hybridMultilevel"/>
    <w:tmpl w:val="C8A01830"/>
    <w:lvl w:ilvl="0" w:tplc="A6044F8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45361"/>
    <w:multiLevelType w:val="hybridMultilevel"/>
    <w:tmpl w:val="3788E5E4"/>
    <w:lvl w:ilvl="0" w:tplc="4D94AC80">
      <w:start w:val="1"/>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F62C47"/>
    <w:multiLevelType w:val="hybridMultilevel"/>
    <w:tmpl w:val="A9189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403CBF"/>
    <w:multiLevelType w:val="hybridMultilevel"/>
    <w:tmpl w:val="728A7CF2"/>
    <w:lvl w:ilvl="0" w:tplc="03D448AC">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8"/>
  </w:num>
  <w:num w:numId="3">
    <w:abstractNumId w:val="21"/>
  </w:num>
  <w:num w:numId="4">
    <w:abstractNumId w:val="14"/>
  </w:num>
  <w:num w:numId="5">
    <w:abstractNumId w:val="5"/>
  </w:num>
  <w:num w:numId="6">
    <w:abstractNumId w:val="4"/>
  </w:num>
  <w:num w:numId="7">
    <w:abstractNumId w:val="27"/>
  </w:num>
  <w:num w:numId="8">
    <w:abstractNumId w:val="26"/>
  </w:num>
  <w:num w:numId="9">
    <w:abstractNumId w:val="1"/>
  </w:num>
  <w:num w:numId="10">
    <w:abstractNumId w:val="3"/>
  </w:num>
  <w:num w:numId="11">
    <w:abstractNumId w:val="19"/>
  </w:num>
  <w:num w:numId="12">
    <w:abstractNumId w:val="25"/>
  </w:num>
  <w:num w:numId="13">
    <w:abstractNumId w:val="23"/>
  </w:num>
  <w:num w:numId="14">
    <w:abstractNumId w:val="2"/>
  </w:num>
  <w:num w:numId="15">
    <w:abstractNumId w:val="16"/>
  </w:num>
  <w:num w:numId="16">
    <w:abstractNumId w:val="8"/>
  </w:num>
  <w:num w:numId="17">
    <w:abstractNumId w:val="22"/>
  </w:num>
  <w:num w:numId="18">
    <w:abstractNumId w:val="6"/>
  </w:num>
  <w:num w:numId="19">
    <w:abstractNumId w:val="11"/>
  </w:num>
  <w:num w:numId="20">
    <w:abstractNumId w:val="17"/>
  </w:num>
  <w:num w:numId="21">
    <w:abstractNumId w:val="29"/>
  </w:num>
  <w:num w:numId="22">
    <w:abstractNumId w:val="9"/>
  </w:num>
  <w:num w:numId="23">
    <w:abstractNumId w:val="15"/>
  </w:num>
  <w:num w:numId="24">
    <w:abstractNumId w:val="18"/>
  </w:num>
  <w:num w:numId="25">
    <w:abstractNumId w:val="7"/>
  </w:num>
  <w:num w:numId="26">
    <w:abstractNumId w:val="12"/>
  </w:num>
  <w:num w:numId="27">
    <w:abstractNumId w:val="10"/>
  </w:num>
  <w:num w:numId="28">
    <w:abstractNumId w:val="24"/>
  </w:num>
  <w:num w:numId="29">
    <w:abstractNumId w:val="20"/>
  </w:num>
  <w:num w:numId="3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6521"/>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5ADF"/>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65E"/>
    <w:rsid w:val="00051733"/>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67F"/>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5E1"/>
    <w:rsid w:val="000F1617"/>
    <w:rsid w:val="000F1C33"/>
    <w:rsid w:val="000F2D73"/>
    <w:rsid w:val="000F2F2E"/>
    <w:rsid w:val="000F302D"/>
    <w:rsid w:val="000F3310"/>
    <w:rsid w:val="000F33BA"/>
    <w:rsid w:val="000F37FB"/>
    <w:rsid w:val="000F3918"/>
    <w:rsid w:val="000F4549"/>
    <w:rsid w:val="000F48F3"/>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2C1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69F"/>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1AD"/>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181"/>
    <w:rsid w:val="00193E8D"/>
    <w:rsid w:val="00194481"/>
    <w:rsid w:val="00194496"/>
    <w:rsid w:val="00194725"/>
    <w:rsid w:val="00195021"/>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3BD"/>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296"/>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252"/>
    <w:rsid w:val="00280849"/>
    <w:rsid w:val="002817B9"/>
    <w:rsid w:val="00281A65"/>
    <w:rsid w:val="00281CC8"/>
    <w:rsid w:val="00282096"/>
    <w:rsid w:val="002824DE"/>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4C0B"/>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4C"/>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5578"/>
    <w:rsid w:val="00316438"/>
    <w:rsid w:val="00316777"/>
    <w:rsid w:val="00316E02"/>
    <w:rsid w:val="003172F1"/>
    <w:rsid w:val="00320847"/>
    <w:rsid w:val="00320F9B"/>
    <w:rsid w:val="00321BF7"/>
    <w:rsid w:val="0032234C"/>
    <w:rsid w:val="003233BD"/>
    <w:rsid w:val="00324219"/>
    <w:rsid w:val="0032521D"/>
    <w:rsid w:val="003255C4"/>
    <w:rsid w:val="003256C5"/>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0B3"/>
    <w:rsid w:val="003468A8"/>
    <w:rsid w:val="00346A73"/>
    <w:rsid w:val="00347EED"/>
    <w:rsid w:val="00350929"/>
    <w:rsid w:val="00351678"/>
    <w:rsid w:val="003517CE"/>
    <w:rsid w:val="0035180F"/>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52E"/>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2AF"/>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D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D79EE"/>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0DE"/>
    <w:rsid w:val="003F11B0"/>
    <w:rsid w:val="003F15C5"/>
    <w:rsid w:val="003F1627"/>
    <w:rsid w:val="003F1D77"/>
    <w:rsid w:val="003F1E76"/>
    <w:rsid w:val="003F1F21"/>
    <w:rsid w:val="003F2CD3"/>
    <w:rsid w:val="003F2FC1"/>
    <w:rsid w:val="003F3040"/>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2BF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247"/>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6B1"/>
    <w:rsid w:val="004C1D26"/>
    <w:rsid w:val="004C28B4"/>
    <w:rsid w:val="004C296D"/>
    <w:rsid w:val="004C2AD8"/>
    <w:rsid w:val="004C2C2C"/>
    <w:rsid w:val="004C3117"/>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2F7A"/>
    <w:rsid w:val="004F3BF2"/>
    <w:rsid w:val="004F3C11"/>
    <w:rsid w:val="004F471E"/>
    <w:rsid w:val="004F487D"/>
    <w:rsid w:val="004F51D9"/>
    <w:rsid w:val="004F5473"/>
    <w:rsid w:val="004F5621"/>
    <w:rsid w:val="004F5A4B"/>
    <w:rsid w:val="004F6C0B"/>
    <w:rsid w:val="004F781A"/>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034"/>
    <w:rsid w:val="00516CB5"/>
    <w:rsid w:val="005204B8"/>
    <w:rsid w:val="005204BC"/>
    <w:rsid w:val="005206AA"/>
    <w:rsid w:val="00520DF6"/>
    <w:rsid w:val="00521117"/>
    <w:rsid w:val="00521142"/>
    <w:rsid w:val="005211A4"/>
    <w:rsid w:val="00521873"/>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7FC"/>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0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88"/>
    <w:rsid w:val="006009C2"/>
    <w:rsid w:val="00600E91"/>
    <w:rsid w:val="00600EEB"/>
    <w:rsid w:val="00601355"/>
    <w:rsid w:val="006025D0"/>
    <w:rsid w:val="00602845"/>
    <w:rsid w:val="00603239"/>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87D"/>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3F6"/>
    <w:rsid w:val="006A773A"/>
    <w:rsid w:val="006A784B"/>
    <w:rsid w:val="006A79D8"/>
    <w:rsid w:val="006B0711"/>
    <w:rsid w:val="006B097C"/>
    <w:rsid w:val="006B2CDC"/>
    <w:rsid w:val="006B387F"/>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37DC"/>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0E5"/>
    <w:rsid w:val="00781390"/>
    <w:rsid w:val="007814C4"/>
    <w:rsid w:val="00781E9B"/>
    <w:rsid w:val="0078229E"/>
    <w:rsid w:val="007823DC"/>
    <w:rsid w:val="00782A6A"/>
    <w:rsid w:val="0078300B"/>
    <w:rsid w:val="0078330F"/>
    <w:rsid w:val="00783D20"/>
    <w:rsid w:val="00784C4F"/>
    <w:rsid w:val="00784EEA"/>
    <w:rsid w:val="0078505E"/>
    <w:rsid w:val="00785209"/>
    <w:rsid w:val="00785328"/>
    <w:rsid w:val="00785762"/>
    <w:rsid w:val="00786343"/>
    <w:rsid w:val="0078647D"/>
    <w:rsid w:val="00786868"/>
    <w:rsid w:val="00786BAB"/>
    <w:rsid w:val="007874E1"/>
    <w:rsid w:val="00787E4F"/>
    <w:rsid w:val="00787EA5"/>
    <w:rsid w:val="00787F5A"/>
    <w:rsid w:val="00790098"/>
    <w:rsid w:val="007901F1"/>
    <w:rsid w:val="007912A9"/>
    <w:rsid w:val="00791DCD"/>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3DB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83"/>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173"/>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3816"/>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4A9"/>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4D0"/>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170"/>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272"/>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16A"/>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31BB"/>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AB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9F6"/>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4D6F"/>
    <w:rsid w:val="00AB54AD"/>
    <w:rsid w:val="00AB55EE"/>
    <w:rsid w:val="00AB58A4"/>
    <w:rsid w:val="00AB5937"/>
    <w:rsid w:val="00AB5DF9"/>
    <w:rsid w:val="00AB6011"/>
    <w:rsid w:val="00AB68B0"/>
    <w:rsid w:val="00AB6BB8"/>
    <w:rsid w:val="00AB7421"/>
    <w:rsid w:val="00AB76DF"/>
    <w:rsid w:val="00AB79CC"/>
    <w:rsid w:val="00AC0101"/>
    <w:rsid w:val="00AC060E"/>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D7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505"/>
    <w:rsid w:val="00B1565A"/>
    <w:rsid w:val="00B15AFD"/>
    <w:rsid w:val="00B15FDA"/>
    <w:rsid w:val="00B1655D"/>
    <w:rsid w:val="00B16958"/>
    <w:rsid w:val="00B172B6"/>
    <w:rsid w:val="00B17AC1"/>
    <w:rsid w:val="00B20082"/>
    <w:rsid w:val="00B20376"/>
    <w:rsid w:val="00B206C9"/>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18"/>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9E8"/>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67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CB0"/>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99"/>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E0D"/>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7796C"/>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5F27"/>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777"/>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586"/>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475"/>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25A7"/>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5DC6"/>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0F"/>
    <w:rsid w:val="00E07EED"/>
    <w:rsid w:val="00E07FD2"/>
    <w:rsid w:val="00E10246"/>
    <w:rsid w:val="00E10743"/>
    <w:rsid w:val="00E107CB"/>
    <w:rsid w:val="00E10A69"/>
    <w:rsid w:val="00E10B88"/>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BB0"/>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37EF2"/>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9D5"/>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562D"/>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823"/>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3C5"/>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4E6"/>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038"/>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0F21"/>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19A2"/>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7CF"/>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3DB"/>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AEE"/>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50921225">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0391654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33714790">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0537484">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73E31-AD63-4080-8F99-10FD58BA9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sam.shi@innopeaktech.com</dc:creator>
  <cp:keywords/>
  <dc:description/>
  <cp:lastModifiedBy>OPPO</cp:lastModifiedBy>
  <cp:revision>6</cp:revision>
  <cp:lastPrinted>2007-12-21T20:58:00Z</cp:lastPrinted>
  <dcterms:created xsi:type="dcterms:W3CDTF">2019-05-02T03:33:00Z</dcterms:created>
  <dcterms:modified xsi:type="dcterms:W3CDTF">2019-05-02T17:44:00Z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